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Bold" w:hAnsi="Novarese-Bold" w:cs="Novarese-Bold"/>
          <w:b/>
          <w:bCs/>
          <w:color w:val="0038F1"/>
          <w:sz w:val="28"/>
          <w:szCs w:val="28"/>
          <w:lang w:val="en-US"/>
        </w:rPr>
      </w:pPr>
      <w:proofErr w:type="gramStart"/>
      <w:r w:rsidRPr="0058017B">
        <w:rPr>
          <w:rFonts w:ascii="Novarese-Bold" w:hAnsi="Novarese-Bold" w:cs="Novarese-Bold"/>
          <w:b/>
          <w:bCs/>
          <w:color w:val="0038F1"/>
          <w:sz w:val="28"/>
          <w:szCs w:val="28"/>
          <w:lang w:val="en-US"/>
        </w:rPr>
        <w:t>New Monetary Spaces?</w:t>
      </w:r>
      <w:proofErr w:type="gram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Italic" w:hAnsi="Novarese-MediumItalic" w:cs="Novarese-MediumItalic"/>
          <w:i/>
          <w:iCs/>
          <w:color w:val="000000"/>
          <w:sz w:val="20"/>
          <w:szCs w:val="20"/>
          <w:lang w:val="en-US"/>
        </w:rPr>
        <w:t>by</w:t>
      </w:r>
      <w:proofErr w:type="gram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color w:val="000000"/>
          <w:sz w:val="20"/>
          <w:szCs w:val="20"/>
          <w:lang w:val="en-US"/>
        </w:rPr>
      </w:pPr>
      <w:r w:rsidRPr="0058017B">
        <w:rPr>
          <w:rFonts w:ascii="Novarese-MediumItalic" w:hAnsi="Novarese-MediumItalic" w:cs="Novarese-MediumItalic"/>
          <w:i/>
          <w:iCs/>
          <w:color w:val="000000"/>
          <w:sz w:val="20"/>
          <w:szCs w:val="20"/>
          <w:lang w:val="en-US"/>
        </w:rPr>
        <w:t>Geoffrey Ingham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University of Cambridge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United Kingdom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Bold" w:hAnsi="Novarese-Bold" w:cs="Novarese-Bold"/>
          <w:b/>
          <w:bCs/>
          <w:color w:val="000000"/>
          <w:sz w:val="20"/>
          <w:szCs w:val="20"/>
          <w:lang w:val="en-US"/>
        </w:rPr>
      </w:pPr>
      <w:r w:rsidRPr="0058017B">
        <w:rPr>
          <w:rFonts w:ascii="Novarese-Bold" w:hAnsi="Novarese-Bold" w:cs="Novarese-Bold"/>
          <w:b/>
          <w:bCs/>
          <w:color w:val="000000"/>
          <w:sz w:val="20"/>
          <w:szCs w:val="20"/>
          <w:lang w:val="en-US"/>
        </w:rPr>
        <w:t>Introduction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It is generally believed that communication and information technology (CIT)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is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eroding the power of nation states in a number of economic, social and cultural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spheres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. This is said to be occurring from two directions simultaneously – globally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from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the “outside”, and locally from the “inside”. Transnational economic, political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and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cultural developments have begun to challenge the hegemony of all but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most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powerful of states; but </w:t>
      </w:r>
      <w:proofErr w:type="spell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localised</w:t>
      </w:r>
      <w:proofErr w:type="spell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and, largely, informal cultural and political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movements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have also expanded. In the economic sphere, the advance of transnational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capitalism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and global e-commerce has been paralleled by the revival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local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and “informal” economies. Both developments make use, in part, of new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forms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of money, based on CIT. It widely thought that these could successfully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challenge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the state’s monopoly and control of monetary production</w:t>
      </w:r>
      <w:r w:rsidRPr="0058017B">
        <w:rPr>
          <w:rFonts w:ascii="Novarese-MediumItalic" w:hAnsi="Novarese-MediumItalic" w:cs="Novarese-MediumItalic"/>
          <w:i/>
          <w:iCs/>
          <w:color w:val="000000"/>
          <w:sz w:val="20"/>
          <w:szCs w:val="20"/>
          <w:lang w:val="en-US"/>
        </w:rPr>
        <w:t>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Two aspects of this debate need to be distinguished from the outset. First,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CIT is literally </w:t>
      </w:r>
      <w:r w:rsidRPr="0058017B">
        <w:rPr>
          <w:rFonts w:ascii="Novarese-MediumItalic" w:hAnsi="Novarese-MediumItalic" w:cs="Novarese-MediumItalic"/>
          <w:i/>
          <w:iCs/>
          <w:color w:val="000000"/>
          <w:sz w:val="20"/>
          <w:szCs w:val="20"/>
          <w:lang w:val="en-US"/>
        </w:rPr>
        <w:t xml:space="preserve">transforming </w:t>
      </w:r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money. After its commodity and paper incarnations,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money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is now (it is widely thought) becoming “virtual” – as in, for example,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electronic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transmission of payments in the banking system, or in “electronic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purses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” (see for example Solomon, 1997). This change in the mode of monetary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transmission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has some important implications; but perhaps we should note at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this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early stage that there is a great deal of rash hyperbole on the novelty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“</w:t>
      </w:r>
      <w:proofErr w:type="spellStart"/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dematerialised</w:t>
      </w:r>
      <w:proofErr w:type="spellEnd"/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” money. After all, the “book money” in 16th century Italian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banks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was just as “virtual” when it was transported through time and space by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stroke of the pen.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There are a number of issues here concerning fraud, money laundering, </w:t>
      </w: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tax</w:t>
      </w:r>
      <w:proofErr w:type="gram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evasion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, and so on. It is not clear whether electronic forms of money will lead to an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increase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or reduction of such activities. This is largely an empirical question and</w:t>
      </w:r>
    </w:p>
    <w:p w:rsidR="00782D1B" w:rsidRDefault="0058017B" w:rsidP="0058017B">
      <w:pPr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until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we move nearer to a cashless economy we cannot be confident about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outcome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. Other things being equal, however, no form of money can be as anonymous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untraceable as hard cash, the foundation of the large “black” economies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even the most economically advanced societies. However difficult it might be in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practice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electronically transmitted money is traceable.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Much more interesting issues are raised by a second, different set of arguments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that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suggest this same technology makes it easier to create authentically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alternative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new forms of money that might erode or even displace state money.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The development of the “global” and the “local” both imply the “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denationalisation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”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(Gilbert and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Helleiner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1999) or “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deterritorialisation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” of money (Cohen, 2001).</w:t>
      </w:r>
      <w:proofErr w:type="gram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There are a number of disparate developments on both levels. At the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globalised</w:t>
      </w:r>
      <w:proofErr w:type="spell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upper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level of capitalism, for example, large transnational corporations might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issue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their own “scrip” as media of exchange on Internet transactions (Greenspan,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1997;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Lietaer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, 2001; Weatherford 1997;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Kobrin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1997).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a more extreme vein,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others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argue that Internet barter-credit transactions might even bring about “the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end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money” and the redundancy of central banks. At the other end of the scale,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informal sectors of many modern economies have developed into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organised</w:t>
      </w:r>
      <w:proofErr w:type="spell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local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trading systems with their own local media of exchange. As the very essence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sovereignty of the state is based upon the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twin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monopolies of money and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coercive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force, there are many possible consequences of such a leakage of money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from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its control. Most obviously,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denationalised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localised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money could evade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monetary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regulation and the reach of the tax authorities, with obvious consequences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for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macroeconomic management and social welfare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programmes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Debates on money’s “future” are one element of more general economic liberal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social communitarian hopes for the Internet as a potential force for human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emancipation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from the state (Hart, 2000).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However, we need to be clear about what exactly money is before embarking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 examination of the consequences of its new forms. Unfortunately, this question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has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proved to be surprisingly difficult to answer (see the articles in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Smithin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2000). Indeed, it will be argued in this chapter that almost all of the recently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fashionable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conjectures on e-money and “the end of money”, or the existence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lastRenderedPageBreak/>
        <w:t>“</w:t>
      </w: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virtual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money”, are based upon a fundamental misunderstanding of the nature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. It is usual to define money in terms of its functions of medium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exchange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; means of payment (settlement); money of account; store of value.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Orthodox economic theory implies that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medium of exchange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is the most important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function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and that the others simply follow from it. Nearly all of the recent analyses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e-money and its consequences are guided by these assumptions, but it is here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argued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that they are mistaken. There is a tendency to confuse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specific forms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– metal, paper, electronic impulses, etc. – with the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generic properties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as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measure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and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bearer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of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abstract value.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As expressed in the opening lines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Keynes’s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A Treatise on Money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: “Money-of-account, namely that in which debts and</w:t>
      </w:r>
    </w:p>
    <w:p w:rsidR="0058017B" w:rsidRDefault="0058017B" w:rsidP="0058017B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prices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general purchasing power are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expressed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, is the primary concept in a theory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money” (Keynes, 1930, p. 3, original emphasis; for further analysis of the fundamental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importance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money of account, see Ingham, 2000; Grierson, 1977; Hoover,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1996). </w:t>
      </w: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These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qualities are generated by the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social relation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between the issuer and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user 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Simmel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, 1978 [1907]; Ingham, 2000;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Aglietta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Orlean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1998; Innes,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1913;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Smithin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2000; Wray, 1990, 1999; Schumpeter, 1994 [1954]).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Monetary spaces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are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created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by social and political relations that exist independently of the exchanges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between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transacting economic agents. The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form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of money and its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mode of transmission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are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secondary importance.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The discussion that follows has two main parts. The first section will expand a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little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on these conceptual problems, outlining the two basic theories of the nature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money. The second part describes the different forms of money that have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recently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emerged – from “above” and “below” – and that appear to challenge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modern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state’s monopoly of money. An attempt will be made to assess how far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these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challenges might progress.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Bold" w:hAnsi="Novarese-Bold" w:cs="Novarese-Bold"/>
          <w:b/>
          <w:bCs/>
          <w:sz w:val="20"/>
          <w:szCs w:val="20"/>
          <w:lang w:val="en-US"/>
        </w:rPr>
      </w:pPr>
      <w:r w:rsidRPr="0058017B">
        <w:rPr>
          <w:rFonts w:ascii="Novarese-Bold" w:hAnsi="Novarese-Bold" w:cs="Novarese-Bold"/>
          <w:b/>
          <w:bCs/>
          <w:sz w:val="20"/>
          <w:szCs w:val="20"/>
          <w:lang w:val="en-US"/>
        </w:rPr>
        <w:t>1. Theories of money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“There are only two theories of money which deserve the name”, Joseph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Schumpeter accurately observed almost a century ago, “… the commodity theory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claim theory. From their very nature they are incompatible” (quoted in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Ellis, 1934, p. 3).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Each theory gives different answers to the basic questions about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– that is to say, those concerned with the functions of money; its historical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origins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; how it gets into society; and how it gets and maintains (or loses) its value.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Both theories have long and complex pedigrees; but the following subsections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simply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summarise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those points that are important for the discussion of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substantive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issues of the new kinds or money – or rather, “monetary spaces”.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58017B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i) Money as a medium of exchange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In the most general sense, the understanding of money in orthodox economic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analysis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remains based on the analytical structure of the commodity-exchange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theory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money. Here money is seen either as a tradable commodity, or the direct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symbol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commodities, that functions as a medium of exchange. In mainstream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economic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theory, only the “real” properties of the economy – “capital” and “commodities”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– are of fundamental importance. There is no analytical difference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between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barter exchange and monetary exchange.</w:t>
      </w:r>
      <w:r w:rsidRPr="0058017B">
        <w:rPr>
          <w:rFonts w:ascii="Novarese-Medium" w:hAnsi="Novarese-Medium" w:cs="Novarese-Medium"/>
          <w:sz w:val="13"/>
          <w:szCs w:val="13"/>
          <w:lang w:val="en-US"/>
        </w:rPr>
        <w:t xml:space="preserve">1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Money, in J.S. Mill’s view,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merely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enables us to do more easily that which we can do without it. It is in this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sense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that money is a neutral veil over transactions. In classical and neoclassical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economic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analysis, the existence of money is explained as a spontaneous evolution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that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resolves the problem of the inefficiencies of barter. The market,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comprising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rational economic agents, is capable of solving its own problems; it is</w:t>
      </w:r>
    </w:p>
    <w:p w:rsidR="0058017B" w:rsidRDefault="0058017B" w:rsidP="0058017B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self-equilibrating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self-correcting. Consequently, money originated as the most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tradable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(liquid) commodity that would be held by traders in order to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maximise</w:t>
      </w:r>
      <w:proofErr w:type="spell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their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exchange options 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Menger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1892; see also the more recent literature in this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tradition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that is cited in Klein and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Selgin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Smithin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2000). It is primarily, and in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some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cases exclusively, seen as a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medium of exchange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. From an analytical standpoint,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there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is no essential difference in terms of money between, say, the “cashless”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euro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the use of cigarettes as a medium of exchange in prisons.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The progressive “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dematerialisation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” of money in the modern world has created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difficulties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for this theory which, as we shall see, continue in the recent confusions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discussions of the end of money and virtual e-money. Over the last two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centuries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there has been a seemingly interminable dispute in economic theory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over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role of “paper” and “credit” as symbols or representations of the “real”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value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commodity money, or of the “real” value of the other commodities in market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lastRenderedPageBreak/>
        <w:t>exchange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. As a result of its intellectual origins in commodity theory, this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conceptual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framework has resulted in a preoccupation with the actual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form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taken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“money stuff” referred to above. Consequently, orthodox economic theories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have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in general, maintained that the value of money is determined by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ratio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the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quantities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of money and goods. Perhaps the last complete incarnation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theory was seen in the “monetarism” of the late 20th century. But the economic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mainstream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continues to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conceptualise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money and its qualities as “things”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that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constitute “stocks” or that “flow” or “circulate” at variable “velocity”.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current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debates on e-money are a continuation of this difficulty in understanding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so-called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dematerialised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money.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There are, however, a number of problems with this theory, which relate in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one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way or another to its concept of money as a “thing”. The question of the significance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origins or basis of a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money of account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is the most important. As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Keynes noted, money of account is all that is necessary to establish the essentials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complex economic activity,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i.e.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price lists and debt contracts. However,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commodity-exchange theory of money cannot provide an explanation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account – that is, of the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concept of abstract value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(Grierson, 1977; Ingham,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2000). It is exceedingly difficult for barter exchange to extend beyond establishing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bilateral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exchange ratios; for example, one hundred goods could yield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4 950 exchange ratios (Davies, 1994).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Without making implausible assumptions,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is difficult to see how an agreed money of account could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spontaneously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emerge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from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barter. As the numismatist Grierson explained (1977), tobacco was used as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medium of exchange in 16th century Virginia, but it only became money when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its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price was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fixed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at three shillings a pound. Money is a commodity, but it has to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constituted as money, according to an abstract money of account,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before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it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becomes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 commodity.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Secondly, the identification of the quality of “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moneyness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” with the “money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stuff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” of the medium of exchange – rather than in the abstract quality of money of</w:t>
      </w:r>
    </w:p>
    <w:p w:rsidR="0058017B" w:rsidRDefault="0058017B" w:rsidP="0058017B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account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– constitutes a “category error” that has led to hasty and mistaken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conclu</w:t>
      </w:r>
      <w:proofErr w:type="spell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spellStart"/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sions</w:t>
      </w:r>
      <w:proofErr w:type="spellEnd"/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when the form of money evolves. Money, as we shall see in the next section,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consists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a “promise to pay” – that is, in a “social relation”. This has taken myriad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technologically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determined forms over the centuries – clay tablets, coins, paper,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book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entries, plastic cards, electronic messages. All these forms of money, including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precious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metals, only become money when they are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expressed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in abstract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account.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Third, the analytical primacy given to money as a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medium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for the exchange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existing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value diverts attention from its obvious role in the capitalist system. Like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all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money, bank credit money is created in a complex set of social relations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credit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debt. But the social relations that constitute money are most clearly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apparent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modern capitalism. As post-Keynesian economists argue, loans make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deposits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money – that is to say, money-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capital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Finally, we should note that the hypothetical evolution from barter to commodity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“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dematerialisation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” and forms of credit money is not borne out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historical record (Innes, 1913, 1914;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Aglietta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Orlean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1998; Wray, 1999;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Ingham, 2000).</w:t>
      </w:r>
      <w:proofErr w:type="gram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Almost all of the most recent conjectures about new forms of money are to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some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extent informed by this commodity-exchange theory. It is assumed that economic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agents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global or local markets are themselves able to create their own,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possibly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more “efficient” forms of money – as Hayek, the “free banking school”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economic liberals have always maintained. Communication and information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technology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has made this easier to achieve by overcoming the technical and information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problems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that hitherto have necessitated the “public goods” role of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monetary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authority.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58017B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ii) Money as credit – a “claim” on goods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In this conception, money,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regardless of its specific form or substance,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is always a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“</w:t>
      </w: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token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” claim to goods. It is a socially constructed abstract value – that is to say,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purchasing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power denominated in a money of account, as Keynes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emphasised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For example, the values in Charlemagne’s money of account were never minted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Einaudi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1953 [1936]); it was the first “cashless” euro! Money of account may be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linked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some material standard of value – but this is always first established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</w:pPr>
      <w:proofErr w:type="gramStart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authoritatively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not by the market.</w:t>
      </w:r>
      <w:r w:rsidRPr="0058017B">
        <w:rPr>
          <w:rFonts w:ascii="Novarese-Medium" w:hAnsi="Novarese-Medium" w:cs="Novarese-Medium"/>
          <w:sz w:val="13"/>
          <w:szCs w:val="13"/>
          <w:lang w:val="en-US"/>
        </w:rPr>
        <w:t xml:space="preserve">2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In this theory, it is the social and political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relationship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between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issuers and users of money that is of central importance in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lastRenderedPageBreak/>
        <w:t>creation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money. Issuers establish both the “description” (money of account)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what form of money “answers” the description (Keynes, 1930, pp. 3-4).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All money is created and maintained by the social relation of credit-debt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(Innes, 1914; Ingham, 1996, 2000;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Aglietta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Orlean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, 1998;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Simmel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1978 [1907]).</w:t>
      </w:r>
      <w:proofErr w:type="gram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Issuers of money issue “claims” or “credits” and holders of money are “owed”</w:t>
      </w:r>
    </w:p>
    <w:p w:rsidR="0058017B" w:rsidRDefault="0058017B" w:rsidP="0058017B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goods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. These relations create the monetary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space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– that is, a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social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sphere in which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impersonal</w:t>
      </w:r>
      <w:proofErr w:type="gramEnd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exchange takes place. This theory argues that such spaces are social and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political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, in that they cannot be constituted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exclusively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by the exchange relations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economic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agents. This socially constructed space is logically anterior and historically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prior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the market. Without money there can be no market, whereas orthodox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economic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theory sees money as a convenient medium of exchange that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enables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 pre-existing – primordial – market to function more efficiently. A genuinely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competitive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issue of money would entail a competition of nominal moneys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account; anarchy would follow (Hoover, 1996; Ingham, 2000;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Issing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1999).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Historical evidence supports Knapp’s state theory’s focus on taxation (debts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to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state) as the basis for creation of monetary spaces (Knapp, 1973 [1924]; Wray,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1999). States issue money in order to get it back in taxes. Tax debts to the state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can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only be paid by acquiring, through economic activity, the money that will be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accepted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(Wray, 1999). In this regard, it is important to bear in mind Knapp’s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important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but widely misunderstood distinction between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valuableness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and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value,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valuableness</w:t>
      </w:r>
      <w:proofErr w:type="gramEnd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being the quality conferred by authority and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value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being actual purchasing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power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. In other words,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all money is, in a very important sense, “fiat” money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“Private” or “market” money exists; but two important points must be borne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mind. First, there is no known case where entirely private money has been able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successfully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maintain its own unit of account over the long term. Secondly, early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capitalist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bank money or market money was chronically unstable until it “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hybridised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”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with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public banks of the early modern states (Boyer-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Xambeu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1994;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Ingham, 1999).</w:t>
      </w:r>
      <w:proofErr w:type="gram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A further important feature of the credit theory of money is that abstract value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form of the social relation of money is value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sui generis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.</w:t>
      </w:r>
      <w:r w:rsidRPr="0058017B">
        <w:rPr>
          <w:rFonts w:ascii="Novarese-Medium" w:hAnsi="Novarese-Medium" w:cs="Novarese-Medium"/>
          <w:sz w:val="13"/>
          <w:szCs w:val="13"/>
          <w:lang w:val="en-US"/>
        </w:rPr>
        <w:t xml:space="preserve">3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A specific feature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is not so much the utility of medium of exchange in “spot” exchanges, but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rather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projection of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abstract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value through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time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. Without this quality,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“</w:t>
      </w: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endogenous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” creation of money through the creation of debt and capitalist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financing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would not be possible (for a survey of post-Keynesian and “monetary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circuit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” theory, see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Parguez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Seccareccia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Smithin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2000).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Bold" w:hAnsi="Novarese-Bold" w:cs="Novarese-Bold"/>
          <w:b/>
          <w:bCs/>
          <w:sz w:val="20"/>
          <w:szCs w:val="20"/>
          <w:lang w:val="en-US"/>
        </w:rPr>
      </w:pPr>
      <w:r w:rsidRPr="0058017B">
        <w:rPr>
          <w:rFonts w:ascii="Novarese-Bold" w:hAnsi="Novarese-Bold" w:cs="Novarese-Bold"/>
          <w:b/>
          <w:bCs/>
          <w:sz w:val="20"/>
          <w:szCs w:val="20"/>
          <w:lang w:val="en-US"/>
        </w:rPr>
        <w:t>2. New monetary spaces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New electronic and digital forms of money and new media for transmission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appear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promise the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actualisation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the economic model in which money is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defined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by its role as a medium of exchange. This underlying conception of money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shared by two quite diverse and opposed ideological positions, both of which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hold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the possibility that a “spontaneous order” could exist without the state. In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short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, communication and information technology has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revitalised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those two old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19th century visions: the liberal conception of </w:t>
      </w: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 global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market “cosmopolitanism”,</w:t>
      </w:r>
    </w:p>
    <w:p w:rsidR="0058017B" w:rsidRDefault="0058017B" w:rsidP="0058017B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spellStart"/>
      <w:r>
        <w:rPr>
          <w:rFonts w:ascii="Novarese-Medium" w:hAnsi="Novarese-Medium" w:cs="Novarese-Medium"/>
          <w:sz w:val="20"/>
          <w:szCs w:val="20"/>
        </w:rPr>
        <w:t>and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local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“</w:t>
      </w:r>
      <w:proofErr w:type="spellStart"/>
      <w:r>
        <w:rPr>
          <w:rFonts w:ascii="Novarese-Medium" w:hAnsi="Novarese-Medium" w:cs="Novarese-Medium"/>
          <w:sz w:val="20"/>
          <w:szCs w:val="20"/>
        </w:rPr>
        <w:t>communitarianism</w:t>
      </w:r>
      <w:proofErr w:type="spellEnd"/>
      <w:r>
        <w:rPr>
          <w:rFonts w:ascii="Novarese-Medium" w:hAnsi="Novarese-Medium" w:cs="Novarese-Medium"/>
          <w:sz w:val="20"/>
          <w:szCs w:val="20"/>
        </w:rPr>
        <w:t>”.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58017B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 xml:space="preserve">i) Electronic </w:t>
      </w:r>
      <w:proofErr w:type="spellStart"/>
      <w:r w:rsidRPr="0058017B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globalisation</w:t>
      </w:r>
      <w:proofErr w:type="spellEnd"/>
      <w:r w:rsidRPr="0058017B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, market capitalism, and national currencies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Leading academics and figures in the monetary world have argued that CIT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will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remedy the information and communication deficiencies that have, hitherto,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impaired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perfect functioning of the market mechanism (Cohen, 2001;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Kobrin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1997; Greenspan, 1997).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Some, as we shall see, have a vision of a truly transcendental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global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order: a vast “moneyless” market, made a reality by a vast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bartercredit</w:t>
      </w:r>
      <w:proofErr w:type="spell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clearing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system based on a fabulously more powerful successor to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Internet (King, 1999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a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,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b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).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Others believe that “with the arrival of electronic money,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creation will become increasingly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privatised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. Hayek’s vision of a world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unrestricted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currency competition could, for better or for worse, soon become a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reality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” (Cohen, 2001, p. 21). These possibilities are questioned by a second group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writers on the grounds that states will have both the will and the capability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successfully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challenge any technologically-based threat to their monopolies, if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is in their interests to do so 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Helleiner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1999).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The author broadly agrees with this second assessment, but his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scepticism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also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based on a slightly different argument. As suggested earlier, the possibility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viable</w:t>
      </w:r>
      <w:proofErr w:type="gramEnd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“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denationalised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” electronic or cyber money that emerges in the course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lastRenderedPageBreak/>
        <w:t>e-commerce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is based on a misunderstanding of the nature of money. In order to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become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more than a “convenient medium of exchange” in e-commerce, money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needs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authoritative foundations – that is to say, some autonomous social and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political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bases. Narrowly “market money”, whether a 16th century bill of exchange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today’s e-money, remains embedded in and restricted by its economic network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is, consequently, only as viable as the network itself.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The most extreme interpretation of the monetary potential of CIT finds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expression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the “New Monetary Economics”, which surmises that the modern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generation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computers could make the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Walras’s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economic model of barter-credit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equilibrium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 reality 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Smithin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, 2000). Their ideas were recently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popularised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by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Deputy Governor of the Bank of England,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Mervyn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King, in his contemplation of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“</w:t>
      </w: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end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money” (King, 1999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a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,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b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). The 20th century, he argued, has seen the inexorable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rise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central banks; but he wondered, as a result of the “impact of technological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innovation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”, whether they would exist at all by the 22nd century. Central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banks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’ control of their monetary systems could disappear if individuals or, more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pertinently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capitalist firms were able to settle their exchanges by the direct transfer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wealth – in the form of, say, financial assets – from one electronic account to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another. Pre-agreed logarithms would determine, according to the value of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transaction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which financial assets were sold by a purchaser. “The key to any such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development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is the ability of computers to communicate in real time to permit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instantaneous</w:t>
      </w:r>
      <w:proofErr w:type="gramEnd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verification of the creditworthiness of counterparties” (emphasis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added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). The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realisation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this possibility would make money’s unique role as the</w:t>
      </w:r>
    </w:p>
    <w:p w:rsidR="0058017B" w:rsidRDefault="0058017B" w:rsidP="0058017B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means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final settlement redundant.</w:t>
      </w:r>
      <w:r w:rsidRPr="0058017B">
        <w:rPr>
          <w:rFonts w:ascii="Novarese-Medium" w:hAnsi="Novarese-Medium" w:cs="Novarese-Medium"/>
          <w:sz w:val="13"/>
          <w:szCs w:val="13"/>
          <w:lang w:val="en-US"/>
        </w:rPr>
        <w:t xml:space="preserve">4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If final settlement could be made without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recourse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the central bank’s money, the bank itself would cease to exist. Present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monetary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policy preoccupation with the need to limit money creation would give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way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the more “technically neutral regulation” of the integrity of the computer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systems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that verify the creditworthiness of the counterparties’ assets.</w:t>
      </w:r>
      <w:r w:rsidRPr="0058017B">
        <w:rPr>
          <w:rFonts w:ascii="Novarese-Medium" w:hAnsi="Novarese-Medium" w:cs="Novarese-Medium"/>
          <w:sz w:val="13"/>
          <w:szCs w:val="13"/>
          <w:lang w:val="en-US"/>
        </w:rPr>
        <w:t xml:space="preserve">5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King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concluded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that societies have managed without central banks (their monopoly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supply of money) in the past and “may well do so again in the future”.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Standing aside from the dazzle of information technology, it is possible to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see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that the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underlying structure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of the kind of scenario described by King has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existed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for some time at the upper reaches of world capitalism 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Ascheim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Park,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1976). Moreover, there are numerous historical examples of “moneyless” systems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complex multilateral settlement with payment in kind – for example,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18th century Massachusetts and present-day Russia.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essence, these are no different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to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King’s conjecture. The quite complex economy of mid-18th century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Boston had no issued currency. Farmers’ and traders’ debts were recorded in a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money</w:t>
      </w:r>
      <w:proofErr w:type="gramEnd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 of account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based on the English currency, which of course did not circulate.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The means of payment were heterogeneous goods priced in an agreed unit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abstract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value (money of account). In strict terms, such systems, including King’s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scenario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are not moneyless but cashless. In order to function at all, these monetary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systems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only require an abstract money of account.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King understands this point and, consequently, that the liquid financial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assets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for settlement of debt would need to be priced according to a money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account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. But in his focus on medium of exchange as money’s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essential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property, 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appears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consider the question of money of account to be unproblematic. However,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is not. Following economic orthodoxy, King simply asserts that a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commodity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standard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based on the prices of a “basket of commodities”, could produce both a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unit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account and a benchmark standard of value. The construction of </w:t>
      </w: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 money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account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he suggests, would simply be a “matter of public choice”, and its regulation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would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be no more difficult than existing weights and measures inspection.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But this reduction of the problem of producing a measure of abstract value to a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technical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question misunderstands the essential quality of money as “the value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commodities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without commodities” 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Simmel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1978 [1907]).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The “New Monetary Economics” position, outlined by the Deputy Governor,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rests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on two basic errors. In the first place, economic value is not “natural” like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relatively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constant properties of, say, distance and weight. Indeed, it fluctuates in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response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the distribution of social and economic power, and this is precisely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why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money of account is logically anterior to and historically prior to market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exchange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market value. Second, the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standardisation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the unit of account in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relation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any standard of value has to be established by an authority. Monetary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promises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pay are abstract, and they function because the question of their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lastRenderedPageBreak/>
        <w:t>value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is partly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removed from the free market process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. Space does not permit a thorough</w:t>
      </w:r>
    </w:p>
    <w:p w:rsidR="0058017B" w:rsidRDefault="0058017B" w:rsidP="0058017B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examination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this question, but in the era of precious coinage, monetary policy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involved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manipulation to maintain parity between market value and the abstract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account. By buying gold at a fixed price, central banks’ promises to pay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were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fact fixing and manipulating the so-called market in order to provide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stability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which, left to itself, the market could not provide (Innes, 1914).</w:t>
      </w:r>
      <w:r w:rsidRPr="0058017B">
        <w:rPr>
          <w:rFonts w:ascii="Novarese-Medium" w:hAnsi="Novarese-Medium" w:cs="Novarese-Medium"/>
          <w:sz w:val="13"/>
          <w:szCs w:val="13"/>
          <w:lang w:val="en-US"/>
        </w:rPr>
        <w:t xml:space="preserve">6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“End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” futurology is no more than a re-description of the 19th century liberals’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misunderstanding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their monetary system and, perhaps, a repetition of their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vain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hope of a world without politics.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Doubts about the theoretical underpinnings of this extreme case do not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mean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however, that we need not consider the possible effects of the appearance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new and varied media of exchange and changes in the means of monetary transmission.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There are two possible developments that could fragment and erode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national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monetary spaces. First, it is suggested that the proliferation of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limitedpurpose</w:t>
      </w:r>
      <w:proofErr w:type="spell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media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exchange that appeared in the late 1980s – such as prepaid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“</w:t>
      </w: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smart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cards” for rail or air travel, mobile phone calls, cable TV, and so on – could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go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beyond the credit card limitations. [For a regularly updated guide to e-money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see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www.ex.ac.uk/~Rdavies/arian/emoney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; also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Godschalk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Krueger, 2000 on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www.durham.ac.uk/economics/krueger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.] At present, like credit card debt, smart card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accounts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must be paid for by transfers from conventional bank balances. However,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technological possibility exists for balances of the different limited-purpose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media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become readily exchangeable in payment for an ever widening range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goods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. The next generation of PCs will have the necessary smart card slot. For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example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a mobile phone company might accept unused rail card balances as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payment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(Boyle, 1999). Indeed, it is in the interest of companies to encourage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formation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such multilateral payment networks. It is argued that as e-commerce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became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more extensive, these limited media of exchange would begin to take on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function of means of payment and final settlement, and would approach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status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private money 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Lietaer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2001). The award of “loyalty credit” for purchases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 range of goods whose suppliers comprise a linked trading network might also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operate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a similar way in the production of limited media of exchange. The Internet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has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enabled these media of exchange to extend their scope, and in the late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1990s a number of so-called cyber currencies emerged – for example,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www.beenz.com; www.ipoints.co.uk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; and, more recently, PayPal (“Dreams of a Cashless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Society”,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Economist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, 5 May 2001; Solomon, 1997).</w:t>
      </w:r>
      <w:proofErr w:type="gram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It is argued that these could spread to a point where they challenge existing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state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moneys. Cohen (2001), for example, believes that Internet money can exist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“new circuits of spending, based on alternative media of exchange, that make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no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use at all of a country’s traditional settlement system – ‘rootless’ money circling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cyberspace” (Solomon, 1997, p. 75). It is acknowledged that the development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trust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is a problem. However, it is assumed that trust in cyberspace money will</w:t>
      </w:r>
    </w:p>
    <w:p w:rsid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grow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simply as a direct function of the volume of electronic commerce. </w:t>
      </w:r>
      <w:proofErr w:type="spellStart"/>
      <w:r>
        <w:rPr>
          <w:rFonts w:ascii="Novarese-Medium" w:hAnsi="Novarese-Medium" w:cs="Novarese-Medium"/>
          <w:sz w:val="20"/>
          <w:szCs w:val="20"/>
        </w:rPr>
        <w:t>In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Cohen’s</w:t>
      </w:r>
      <w:proofErr w:type="spellEnd"/>
    </w:p>
    <w:p w:rsidR="0058017B" w:rsidRDefault="0058017B" w:rsidP="0058017B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view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this would be no different to the way in which cigarettes in prisons or chew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spellStart"/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ing</w:t>
      </w:r>
      <w:proofErr w:type="spellEnd"/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gum in postwar Europe became “money”. In general, then, this range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views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is based on the belief that money is fundamentally a commodity that functions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13"/>
          <w:szCs w:val="13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 medium of exchange and is produced by a market process.</w:t>
      </w:r>
      <w:r w:rsidRPr="0058017B">
        <w:rPr>
          <w:rFonts w:ascii="Novarese-Medium" w:hAnsi="Novarese-Medium" w:cs="Novarese-Medium"/>
          <w:sz w:val="13"/>
          <w:szCs w:val="13"/>
          <w:lang w:val="en-US"/>
        </w:rPr>
        <w:t>7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Secondly, is it really only “a matter of time”, as Alan Greenspan has suggested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(1997), before the largest global corporations, whose assets far exceed those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many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states, issue their own promises to pay? As a recent commentator explains,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“real goods and services of companies” would back the private issue 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Lietaer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2001).</w:t>
      </w:r>
      <w:r w:rsidRPr="0058017B">
        <w:rPr>
          <w:rFonts w:ascii="Novarese-Medium" w:hAnsi="Novarese-Medium" w:cs="Novarese-Medium"/>
          <w:sz w:val="13"/>
          <w:szCs w:val="13"/>
          <w:lang w:val="en-US"/>
        </w:rPr>
        <w:t xml:space="preserve">8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However, in addition to the overwhelming historical </w:t>
      </w: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evidence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that money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indeed a “creation of the state” (Keynes, 1930), there are good reasons to doubt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that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private corporate money could ever become more than a minor adjunct to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legal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tender. Quite simply, the structure and mode of operation of what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Fernand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Braudel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called the “capitalist jungle” is inimical to the creation of corporations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with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necessary longevity and trustworthiness to produce money that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could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successfully compete with states’ issue. Capitalism, as Schumpeter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stressed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prospers through “creative destruction” in which even the most powerful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firms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eventually fail or are swallowed up by their competitors. If the pattern of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20th century continues, only one in three of the largest US corporations will survive</w:t>
      </w:r>
    </w:p>
    <w:p w:rsid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next twenty-five years (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Financial Times,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12 April 2001). </w:t>
      </w:r>
      <w:proofErr w:type="spellStart"/>
      <w:r>
        <w:rPr>
          <w:rFonts w:ascii="Novarese-Medium" w:hAnsi="Novarese-Medium" w:cs="Novarese-Medium"/>
          <w:sz w:val="20"/>
          <w:szCs w:val="20"/>
        </w:rPr>
        <w:t>Finally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, </w:t>
      </w:r>
      <w:proofErr w:type="spellStart"/>
      <w:r>
        <w:rPr>
          <w:rFonts w:ascii="Novarese-Medium" w:hAnsi="Novarese-Medium" w:cs="Novarese-Medium"/>
          <w:sz w:val="20"/>
          <w:szCs w:val="20"/>
        </w:rPr>
        <w:t>it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has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not</w:t>
      </w:r>
      <w:proofErr w:type="spell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lastRenderedPageBreak/>
        <w:t>been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convincingly demonstrated that it would actually be in the economic interest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corporations to issue money. As the 20th century has shown, the dominant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states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whose money has been used globally have, at times, found this to be a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costly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burden (Ingham, 1994).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One must guard against exaggerating the actual extent, scope and novelty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these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developments 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Godschalk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Krueger, 2000). But it is more important to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aware that, in order to be fungible, the new forms of money would have to be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part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a monetary space that is circumscribed by a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dominant money of account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Charlemagne grasped the point over a thousand years ago in his attempt to bring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order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the monetary anarchy created by myriad competing currencies across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Europe. In fact, e-money is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structurally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no different from the multiplicity of local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media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exchange, corporate and government scrip and private bank money that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existed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all advanced capitalist societies in the 19th century (Davies, 1994). For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example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in “… the 1830s… Britons could at different times and at different places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have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understood gold sovereigns, banknotes, or bills of exchange as the privileged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local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representatives of the pound… the pound as an abstraction was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constituted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precisely by its capacity to assume these heterogeneous forms, since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its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existence as a national currency was determined by the mediations between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them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” 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Rowlinson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1999, pp. 64-65). These media were displaced not by technological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innovation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but by the political interests of states in tax collection, and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spellStart"/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stabilisation</w:t>
      </w:r>
      <w:proofErr w:type="spellEnd"/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their currency by participation in the international gold standard.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It is to misunderstand the nature of money to argue that “[j]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ust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as early forms</w:t>
      </w:r>
    </w:p>
    <w:p w:rsidR="0058017B" w:rsidRDefault="0058017B" w:rsidP="0058017B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paper monies eventually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took on a life of their own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, delinked from their specie base,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so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too might electronic money one day be able to dispense with all such formal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guarantees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…” (Cohen, 2001, p. 6 – emphasis added).</w:t>
      </w:r>
      <w:r w:rsidRPr="0058017B">
        <w:rPr>
          <w:rFonts w:ascii="Novarese-Medium" w:hAnsi="Novarese-Medium" w:cs="Novarese-Medium"/>
          <w:sz w:val="13"/>
          <w:szCs w:val="13"/>
          <w:lang w:val="en-US"/>
        </w:rPr>
        <w:t xml:space="preserve">9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No money can simply take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 “life of its own”, or have a “rootless” existence. To think that this is possible is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result of the preoccupation with the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form of money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and economic transactions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rather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than the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social and political relations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between the issuers and the users. Money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essentially “rooted” in the money of account and the final means of settlement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that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is, of necessity, established by an authority.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Fundamentally, then, the question of new monetary spaces based on CIT is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not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technological or even economic – it is political. Aside from the essential role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“authority” in maintaining a money of account and means of final settlement,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extent of any developments in even very limited purpose media of exchange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depends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on the state 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Helleiner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1999). The European Central Bank, for example,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has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taken a strong stance with regard to competing private e-money. In addition to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requiring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that e-money must conform to existing banking supervision, including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reserve requirement, the issuers of e-money are, if requested, to be legally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obliged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redeem it at par against central bank euros (European Central Bank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Report, quoted in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Lietaer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2001, p. 216).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other words, it is the ECB’s intention that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any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new issuers of private e-money become part of the existing banking system. Out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concern for the United States’ lead in e-commerce, the Federal Reserve is, as yet,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more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tolerant of e-money. However, the US Internal Revenue Service has opposed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part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payment of income in “frequent flier miles” that were potentially negotiable.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There is one final consideration that we should examine. It receives little or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no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attention in the literature, largely because orthodox approaches assume that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– whatever its form – is “neutral” in its effects. It is just conceivable that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e-money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might become a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transmission mechanism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for currency substitution on an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extensive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scale for a global financial elite. The Internet might produce a more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extensive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promiscuous circulation of national currencies, as occurred in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Europe before the consolidation state system of the 18th century.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Or, could there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for example, a non-bank version of the 1960s Eurodollar market?</w:t>
      </w:r>
      <w:r w:rsidRPr="0058017B">
        <w:rPr>
          <w:rFonts w:ascii="Novarese-Medium" w:hAnsi="Novarese-Medium" w:cs="Novarese-Medium"/>
          <w:sz w:val="13"/>
          <w:szCs w:val="13"/>
          <w:lang w:val="en-US"/>
        </w:rPr>
        <w:t xml:space="preserve">10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The amount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globalised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private investment is large, and growing at a fast rate – from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$1 trillion in 1981 to $4.5 trillion in 1993 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Thygesen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1995).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Rather than being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merely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offshore, as they were forty years ago, the new markets would be in cyberspace.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Currency X could be exchanged into e-money and thence into currency 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other liquid financial assets. The existence of such offshore – or rather, cyberspace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– </w:t>
      </w: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wealth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would lead to a further shrinkage of sovereign states’ tax bases,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affect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welfare and exacerbate existing trends towards increasing inequality.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Again, the outcome will depend upon any common interest that states might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have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their willingness to regulate and control, such as in the current European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initiative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on private offshore banking. Some states permit domestic use of foreign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lastRenderedPageBreak/>
        <w:t>currency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order to discourage their wealthy elite from exporting their financial</w:t>
      </w:r>
    </w:p>
    <w:p w:rsidR="0058017B" w:rsidRDefault="0058017B" w:rsidP="0058017B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assets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Helleiner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, 1999, p. 150). Anything that enhances the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fungibility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a global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plutocracy’s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assets will tend to force national governments and their monetary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authorities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act defensively in this way. Could this be another path to an </w:t>
      </w: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insidious</w:t>
      </w:r>
      <w:proofErr w:type="gram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13"/>
          <w:szCs w:val="13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global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“dollarisation”?</w:t>
      </w:r>
      <w:r w:rsidRPr="0058017B">
        <w:rPr>
          <w:rFonts w:ascii="Novarese-Medium" w:hAnsi="Novarese-Medium" w:cs="Novarese-Medium"/>
          <w:sz w:val="13"/>
          <w:szCs w:val="13"/>
          <w:lang w:val="en-US"/>
        </w:rPr>
        <w:t>11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In addition to further economic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polarisation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reduction of national tax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bases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the existence of global economic elite networks would probably reinforce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another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trend that has a less obvious but possibly deeper significance. In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19th and early 20th century, the limitations of information and communication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technology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the relative immobility of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labour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the tertiary and secondary sectors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economy tied the economically dominant classes more closely to their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particular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locale. They had a stake in its economic, political and social health.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Today these links are becoming increasingly tenuous. It has been argued that this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retreat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has led to the general degeneration of local communities. But, in an ironic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twist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could local community action based on local media of exchange fill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void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? The very same technological possibilities are invoked as the foundation for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recovery of the “real wealth” of the “community” by the “community” (Hart, 2000;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spellStart"/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Lietaer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2001).</w:t>
      </w:r>
      <w:proofErr w:type="gram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58017B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ii) Community exchange systems and local monetary spaces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Two periods of global economic recession in the 20th century have given rise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to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local self-help schemes and local moneys. In the deflation and monetary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contraction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during the 1920s and 30s, local media were used to enable basic economic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exchange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take place. Some vestiges remain, but the vast </w:t>
      </w: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majority were</w:t>
      </w:r>
      <w:proofErr w:type="gram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unable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withstand the assault from their respective banking systems or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effects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the Second World War. The second wave of local moneys that emerged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1980s appears to be more robust and, significantly, their growth has continued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into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 period of economic prosperity. From fewer than 200 in the early 1980s,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local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money systems have grown to over 2 500 worldwide 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Lietaer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2001, p. 159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for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 list of websites). Many believe that these are not simply the response to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economic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deprivation but represent the other dialectically opposed side of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spellStart"/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globalisation</w:t>
      </w:r>
      <w:proofErr w:type="spellEnd"/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“coin”.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The advocacy of community money, controlled by users rather than by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banking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system and monetary authority, is prominent in populist, guild socialist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communitarian writing (Hart, 2000, pp. 280-281). It is thought that it could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unlock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“real” human and social capital of the people that is rendered impotent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lack of money-income from the formal capitalist economy and its banking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system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. Despite belonging to a very different ideological tradition, this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conception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money is very close to the idea of the “neutral veil” in liberal economic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thinking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. Here also, it is maintained that real capital and wealth resides</w:t>
      </w:r>
    </w:p>
    <w:p w:rsid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only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the actual physical, material and technical resources of an economy. </w:t>
      </w:r>
      <w:proofErr w:type="spellStart"/>
      <w:r>
        <w:rPr>
          <w:rFonts w:ascii="Novarese-Medium" w:hAnsi="Novarese-Medium" w:cs="Novarese-Medium"/>
          <w:sz w:val="20"/>
          <w:szCs w:val="20"/>
        </w:rPr>
        <w:t>Lacking</w:t>
      </w:r>
      <w:proofErr w:type="spellEnd"/>
    </w:p>
    <w:p w:rsidR="0058017B" w:rsidRDefault="0058017B" w:rsidP="0058017B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medium of exchange that unemployment and the loss of income bring about,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these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lie idle in times of recession. Like analyses of global e-money, the crucially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important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questions concerning money of account and money as a store of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pure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abstract</w:t>
      </w:r>
      <w:proofErr w:type="gramEnd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 value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that could constitute final unilateral payment are not dealt with by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these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theories. Money is seen to be nothing more than a symbol of the goods and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services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the “real” economy. Secondly, the communitarian vision is essentially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same as the Hayekian liberal belief that money emerges “spontaneously” –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that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is to say, without any need of an authority or state.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There are two main forms of alternative and complementary money that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occupy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 marginal position in relation to the mainstream of legal tender money.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First, there are local exchange trading systems/</w:t>
      </w:r>
      <w:proofErr w:type="spellStart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systèmes</w:t>
      </w:r>
      <w:proofErr w:type="spellEnd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 </w:t>
      </w:r>
      <w:proofErr w:type="spellStart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d’échange</w:t>
      </w:r>
      <w:proofErr w:type="spellEnd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 local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(LETS/SEL).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Second, authentic local currencies – most notably “Time Dollars” in the United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States – have emerged (Bowring, 1998; Williams, 1996;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Leitaer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2001; Hart, 2000).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Third, local mutual credit associations have grown in number. For some writers,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capability of CIT raises the possibility that local cells might become connected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into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strong networks that define economic spaces outside those of national moneys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currency blocs. The Internet, they argue, has the potential to transform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local into the global (Hart, 2000).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</w:pP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LETS/SEL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The original local exchange trading scheme/</w:t>
      </w:r>
      <w:proofErr w:type="spellStart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système</w:t>
      </w:r>
      <w:proofErr w:type="spellEnd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 </w:t>
      </w:r>
      <w:proofErr w:type="spellStart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d’échange</w:t>
      </w:r>
      <w:proofErr w:type="spellEnd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 local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(LETS/SEL)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was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founded in Vancouver in 1983, and such schemes have now begun to spread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lastRenderedPageBreak/>
        <w:t>throughout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advanced capitalist societies. In the United Kingdom, for example,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first appeared at Norwich in 1985 and the number had reached only five by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1992; but in 1999 there were 450 schemes in operation.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However, with about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30 000 participants and an annual turnover of only £2.2 million, these schemes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remain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at present, very marginal to the UK economy, and the situation is not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significantly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different elsewhere.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Strictly speaking, LETS/SEL are barter-credit networks in which offers and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wants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goods and services are matched. The schemes occupy a position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between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simple bilateral barter and a fully developed money economy. Media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exchange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credits are usually issued to participants in the form of paper chits that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shadow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their national currency but sometimes signal the locality, as in “Bobbins”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Manchester and “Tales” in Canterbury, England. [In France, “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les grains de </w:t>
      </w:r>
      <w:proofErr w:type="spellStart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sel</w:t>
      </w:r>
      <w:proofErr w:type="spellEnd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”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evoke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era of authentic commodity in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Menger’s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fanciful account of the transition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from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barter to money (1892).]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After a transaction, the media are placed in local collection boxes or posted to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clearing house where members’ accounts are debited or credited. </w:t>
      </w: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LETS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go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some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way towards overcoming the well-known impediments to barter trade that</w:t>
      </w:r>
    </w:p>
    <w:p w:rsid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occur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the absence of a “double coincidence of wants”. </w:t>
      </w:r>
      <w:r>
        <w:rPr>
          <w:rFonts w:ascii="Novarese-Medium" w:hAnsi="Novarese-Medium" w:cs="Novarese-Medium"/>
          <w:sz w:val="20"/>
          <w:szCs w:val="20"/>
        </w:rPr>
        <w:t xml:space="preserve">A </w:t>
      </w:r>
      <w:proofErr w:type="spellStart"/>
      <w:r>
        <w:rPr>
          <w:rFonts w:ascii="Novarese-Medium" w:hAnsi="Novarese-Medium" w:cs="Novarese-Medium"/>
          <w:sz w:val="20"/>
          <w:szCs w:val="20"/>
        </w:rPr>
        <w:t>level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of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multilateral</w:t>
      </w:r>
      <w:proofErr w:type="spellEnd"/>
    </w:p>
    <w:p w:rsidR="0058017B" w:rsidRDefault="0058017B" w:rsidP="0058017B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exchange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separation of transactions in time is achieved, but LETS demonstrate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limitations of “special purpose” forms of money that are restricted to the role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simple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medium. LETS chits or notes are “a convenient medium of exchange” (Keynes,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1930); that is to say, they do not function beyond the direct representation of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actual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goods and services to be exchanged. The successful operation of LETS</w:t>
      </w:r>
    </w:p>
    <w:p w:rsid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requires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frequent, regular trades and a very high level of velocity of the chits. </w:t>
      </w:r>
      <w:r>
        <w:rPr>
          <w:rFonts w:ascii="Novarese-Medium" w:hAnsi="Novarese-Medium" w:cs="Novarese-Medium"/>
          <w:sz w:val="20"/>
          <w:szCs w:val="20"/>
        </w:rPr>
        <w:t xml:space="preserve">To </w:t>
      </w:r>
      <w:proofErr w:type="spellStart"/>
      <w:r>
        <w:rPr>
          <w:rFonts w:ascii="Novarese-Medium" w:hAnsi="Novarese-Medium" w:cs="Novarese-Medium"/>
          <w:sz w:val="20"/>
          <w:szCs w:val="20"/>
        </w:rPr>
        <w:t>discourage</w:t>
      </w:r>
      <w:proofErr w:type="spell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hoarding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“demurrage” – that is, a type of negative interest or deliberate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depreciation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– is often employed; and there must be a constant readiness to trade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Lietaer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2001; Bowring, 1998).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other words, LETS media are not stores of abstract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value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means of unilateral settlement, like full money. This has two significant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effects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. First, there are not the price-lists that result from the use of purely abstract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. The terms of trade in each transaction are almost always bilateral – like pure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barter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. Second, as the LETS chits cannot store value, there is less incentive to drive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hard bargain which in turn further inhibits the production of stable prices. Consequently,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this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reinforces the “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localisation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” of LETS to closed circuits and casts doubt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their ability to grow into wider networks of truly alternative monetary space.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course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these characteristics are precisely those that are valued by some of their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proponents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; LETS are as much concerned with the intentional creation of co-operative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spellStart"/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behaviour</w:t>
      </w:r>
      <w:proofErr w:type="spellEnd"/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communal reciprocity as they are with producing economic welfare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Lietaer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, 2001;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www.transaction.net/money.com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).</w:t>
      </w:r>
      <w:proofErr w:type="gram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The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actual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benefits of LETS are yet to be thoroughly assessed; but it is clear that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can help to combat economic disadvantage and foster social solidarity.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unemployed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are disproportionately represented, but a large percentage of LETS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members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are from the self-employed middle class who follow an environmental and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“</w:t>
      </w: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alternative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lifestyle” ethos (Williams, 1996). However, there is evidence to suggest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that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effects of LETS might not be as unequivocally beneficial to the disadvantaged,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is generally argued. In unintended ways, they might even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increase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levels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inequality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. For example, middle class resources like tools and equipment and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scarce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skills and knowledge earn media of exchange credits with very little expenditure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time. Conversely, the lower classes typically offer time-consuming,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labourintensive</w:t>
      </w:r>
      <w:proofErr w:type="spell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services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. Moreover, if – as some have advocated – LETS schemes were to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expand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penetrate the mainstream economy as a complementary currency, then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this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would almost certainly be to the advantage of the middle class possessors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legal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tender. The possessors of legal tender would only participate in LETS if it were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to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their advantage and, for example, the middle classes could accumulate LETS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credits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at a very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favourable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rate of exchange with which to hire female domestic servants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(Bowring, 1998, p. 104).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Unless LETS remain relatively closed and marginal to</w:t>
      </w:r>
    </w:p>
    <w:p w:rsidR="0058017B" w:rsidRDefault="0058017B" w:rsidP="0058017B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wider economy, they could perversely intensify inequality.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color w:val="000000"/>
          <w:sz w:val="20"/>
          <w:szCs w:val="20"/>
          <w:lang w:val="en-US"/>
        </w:rPr>
      </w:pPr>
      <w:r w:rsidRPr="0058017B">
        <w:rPr>
          <w:rFonts w:ascii="Novarese-MediumItalic" w:hAnsi="Novarese-MediumItalic" w:cs="Novarese-MediumItalic"/>
          <w:i/>
          <w:iCs/>
          <w:color w:val="000000"/>
          <w:sz w:val="20"/>
          <w:szCs w:val="20"/>
          <w:lang w:val="en-US"/>
        </w:rPr>
        <w:t>Local currencies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Local currencies are closer in structure and operation to proper monetary systems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than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LETS/SEL. The idea of an alternative value standard has, of course, long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Bold" w:hAnsi="Novarese-Bold" w:cs="Novarese-Bold"/>
          <w:b/>
          <w:bCs/>
          <w:color w:val="0038F1"/>
          <w:sz w:val="16"/>
          <w:szCs w:val="16"/>
          <w:lang w:val="en-US"/>
        </w:rPr>
      </w:pPr>
      <w:proofErr w:type="gramStart"/>
      <w:r w:rsidRPr="0058017B">
        <w:rPr>
          <w:rFonts w:ascii="Novarese-Bold" w:hAnsi="Novarese-Bold" w:cs="Novarese-Bold"/>
          <w:b/>
          <w:bCs/>
          <w:color w:val="0038F1"/>
          <w:sz w:val="16"/>
          <w:szCs w:val="16"/>
          <w:lang w:val="en-US"/>
        </w:rPr>
        <w:t>New Monetary Spaces?</w:t>
      </w:r>
      <w:proofErr w:type="gram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16"/>
          <w:szCs w:val="16"/>
          <w:lang w:val="en-US"/>
        </w:rPr>
      </w:pPr>
      <w:r w:rsidRPr="0058017B">
        <w:rPr>
          <w:rFonts w:ascii="Novarese-Medium" w:hAnsi="Novarese-Medium" w:cs="Novarese-Medium"/>
          <w:color w:val="000000"/>
          <w:sz w:val="16"/>
          <w:szCs w:val="16"/>
          <w:lang w:val="en-US"/>
        </w:rPr>
        <w:t>137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18"/>
          <w:szCs w:val="18"/>
          <w:lang w:val="en-US"/>
        </w:rPr>
      </w:pPr>
      <w:r w:rsidRPr="0058017B">
        <w:rPr>
          <w:rFonts w:ascii="Novarese-Medium" w:hAnsi="Novarese-Medium" w:cs="Novarese-Medium"/>
          <w:color w:val="000000"/>
          <w:sz w:val="18"/>
          <w:szCs w:val="18"/>
          <w:lang w:val="en-US"/>
        </w:rPr>
        <w:lastRenderedPageBreak/>
        <w:t>© OECD 2002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been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a part of socialist egalitarian writing; but the modern version of Time Dollars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was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devised by the Washington law professor Edgar Cahn in 1986 (Boyle, 1999).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The essential idea is that the Time Dollars circulate freely, as opposed to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matched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offers and wants of a LETS/SEL. Most local currencies are to be found in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United States, but there are signs that these are now spreading (Boyle, 1999;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spellStart"/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Lietaer</w:t>
      </w:r>
      <w:proofErr w:type="spell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, 2001).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The best known local currency, Ithaca Hours, was launched in 1991.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It is estimated that this currency is used by over 2% of the population of Ithaca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(27 000), including 300 businesses, and by 1996 had financed $1.5 billion transactions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(</w:t>
      </w:r>
      <w:r w:rsidRPr="0058017B">
        <w:rPr>
          <w:rFonts w:ascii="Novarese-MediumItalic" w:hAnsi="Novarese-MediumItalic" w:cs="Novarese-MediumItalic"/>
          <w:i/>
          <w:iCs/>
          <w:color w:val="000000"/>
          <w:sz w:val="20"/>
          <w:szCs w:val="20"/>
          <w:lang w:val="en-US"/>
        </w:rPr>
        <w:t>The Wall Street Journal</w:t>
      </w:r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, 27 June 1996).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The system is </w:t>
      </w:r>
      <w:proofErr w:type="spell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organised</w:t>
      </w:r>
      <w:proofErr w:type="spell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by a group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community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activists who meet twice monthly to make decisions about the supply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the Ithaca Hours notes and to draft the newspaper that lists those businesses</w:t>
      </w:r>
    </w:p>
    <w:p w:rsidR="0058017B" w:rsidRDefault="0058017B" w:rsidP="0058017B">
      <w:pPr>
        <w:rPr>
          <w:rFonts w:ascii="Novarese-Medium" w:hAnsi="Novarese-Medium" w:cs="Novarese-Medium"/>
          <w:color w:val="000000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>that</w:t>
      </w:r>
      <w:proofErr w:type="gramEnd"/>
      <w:r w:rsidRPr="0058017B">
        <w:rPr>
          <w:rFonts w:ascii="Novarese-Medium" w:hAnsi="Novarese-Medium" w:cs="Novarese-Medium"/>
          <w:color w:val="000000"/>
          <w:sz w:val="20"/>
          <w:szCs w:val="20"/>
          <w:lang w:val="en-US"/>
        </w:rPr>
        <w:t xml:space="preserve"> will accept them in full or part payment.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Some rather confused claims have been made for the time standard of value.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Some argued that this unit of currency does not reproduce inequality in the formal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economy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“since every hour worked… is equivalent in value” (Bowring, 1998,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p. 109). But of course this would only be true if an authority had forged a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monetary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space</w:t>
      </w:r>
      <w:proofErr w:type="gramEnd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by the imposition of a money of account and standard of value – by consensus,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coercion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or a mixture of both. Moreover, unless the possessors of marketable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skills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commodities are willing to accept such an egalitarian non-market standard,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systems tend to reproduce the pattern of inequality of the social structure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which they are found. In fact, Ithaca Hours are a “shadow” currency in so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much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as each unit has a value of $10, which is around the hourly average minimum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wage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 the area. In some of the smaller local currency systems, where an attempt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made to maintain a genuine time standard, there is evidence that non-market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exchange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norms might develop. But, as in Montpelier (the state capital of Vermont),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lawyers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charge five Hours per hour and babysitters half an Hour per hour (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Economist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28 June 1997, p. 65).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As with LETS/SEL, the relatively narrow range of goods and services on offer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reduces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liquidity of local currencies. In the words of a participant of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Montpelier scheme: “You can only have so many massages and aromatherapies in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your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lifetime” (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Economist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, 28 June 1997, p. 65). Where local currencies are authentically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complementary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expand, they will, at some stage or other, attract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attention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the state’s tax authorities.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In any event, unless they can be used to form a basis for a shadow banking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system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local currencies also are limited to a medium of exchange function, and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restrict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their holders to a relatively passive role in the capitalist economy. Like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their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close relation LETS/SEL, whatever advantages local currencies confer, they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do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so precisely because they are local. They are embedded in local trading networks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which money is a “neutral veil”, as in conventional economic theory. But,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local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currencies do not give rise to the creation of pure abstract value in the form</w:t>
      </w:r>
    </w:p>
    <w:p w:rsidR="0058017B" w:rsidRDefault="0058017B" w:rsidP="0058017B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social relation of credit-debt; consequently, no money in this sense is created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“</w:t>
      </w: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endogenously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” through the extension of bank lending. Only in a very small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minority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atypical cases – as in Harvey, North Dakota (population 2 300) – have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local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banks accepted deposits of local money (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The Wall Street Journal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, 27 June 1996).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Significantly, these are lent interest free in order not to compete with the formal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banking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system. However, it is argued that LETS/SEL and local currencies would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provide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more effective self-help if they were to be integrated with existing credit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unions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</w:pP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Credit unions and micro-finance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Credit unions are mutual savings and lending associations; they are usually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non-profit-making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. They are commonplace in Anglo-American-type economies – apart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from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United Kingdom. One in four Australians belongs to a credit union, but in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United Kingdom the figure is only 1 in 300. However, credit unions are expanding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everywhere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Lietaer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 2001). Since their first appearance in the modern era during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1930s, they have been subjected to regulation that is designed to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minimise</w:t>
      </w:r>
      <w:proofErr w:type="spell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any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encroachment on the formal banking system’s right to create credit money. In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general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terms, regulative controls require that credit unions be embedded in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some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social collectivity with a “common bond” or “bond of association” – such as a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local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community or occupational group.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On first inspection, credit unions would appear to be unequivocal examples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lastRenderedPageBreak/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mutual communitarian self-help; but, to an even greater extent than other forms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local money and finance, they have contradictory effects. Obviously, if loans are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to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be provided from savings, credit unions cannot be composed entirely of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dispossessed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financially “excluded”; and this feature has a perverse consequence.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In the formal financial system, higher income groups have excess savings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over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debt, whereas the converse is the case in lower income groups. However, it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has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been found that this relation is often reversed in credit unions where, in order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to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take advantage of the low interest rates, the higher income groups have excess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borrowing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over saving; and lower income groups save more than they borrow. As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stand, then, many credit unions are sources of inequality as they effect transfers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from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poor to the rich. In almost every country, any serious attempt to relax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constraining “bond of association” is resisted by the banking system and, if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local exchange systems were to join forces with the banks, the opposition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13"/>
          <w:szCs w:val="13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would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be that much more vigorous.</w:t>
      </w:r>
      <w:r w:rsidRPr="0058017B">
        <w:rPr>
          <w:rFonts w:ascii="Novarese-Medium" w:hAnsi="Novarese-Medium" w:cs="Novarese-Medium"/>
          <w:sz w:val="13"/>
          <w:szCs w:val="13"/>
          <w:lang w:val="en-US"/>
        </w:rPr>
        <w:t>12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Bold" w:hAnsi="Novarese-Bold" w:cs="Novarese-Bold"/>
          <w:b/>
          <w:bCs/>
          <w:sz w:val="20"/>
          <w:szCs w:val="20"/>
          <w:lang w:val="en-US"/>
        </w:rPr>
      </w:pPr>
      <w:r w:rsidRPr="0058017B">
        <w:rPr>
          <w:rFonts w:ascii="Novarese-Bold" w:hAnsi="Novarese-Bold" w:cs="Novarese-Bold"/>
          <w:b/>
          <w:bCs/>
          <w:sz w:val="20"/>
          <w:szCs w:val="20"/>
          <w:lang w:val="en-US"/>
        </w:rPr>
        <w:t>Conclusions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The extent to which CIT has produced and could produce alternative or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complementary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money has been exaggerated. However, there are now clear</w:t>
      </w:r>
    </w:p>
    <w:p w:rsid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indications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that the early euphoria has been tempered. </w:t>
      </w:r>
      <w:r>
        <w:rPr>
          <w:rFonts w:ascii="Novarese-Medium" w:hAnsi="Novarese-Medium" w:cs="Novarese-Medium"/>
          <w:sz w:val="20"/>
          <w:szCs w:val="20"/>
        </w:rPr>
        <w:t>E-</w:t>
      </w:r>
      <w:proofErr w:type="spellStart"/>
      <w:r>
        <w:rPr>
          <w:rFonts w:ascii="Novarese-Medium" w:hAnsi="Novarese-Medium" w:cs="Novarese-Medium"/>
          <w:sz w:val="20"/>
          <w:szCs w:val="20"/>
        </w:rPr>
        <w:t>money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has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not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grown</w:t>
      </w:r>
      <w:proofErr w:type="spellEnd"/>
    </w:p>
    <w:p w:rsidR="0058017B" w:rsidRDefault="0058017B" w:rsidP="0058017B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expected, and there have been some recent failures of leading “moneys”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(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The Industry Standard: The News Magazine of the Internet Economy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, 5 February 2001;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www.thestandard.com.au/artcile_print/0</w:t>
      </w:r>
      <w:proofErr w:type="gramStart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,1454,12508,00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). The viability of these new forms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money is usually discussed with reference, first, to their efficiency considered in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relation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user costs and benefits (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Godschalk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and Krueger, 2000) and secondly, in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relation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the reaction of states to any encroachment on their monopoly of issue.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However, it has been argued here that much of the conjecture and almost all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hyperbole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the early work on e-money has been the result of its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conceptualisation</w:t>
      </w:r>
      <w:proofErr w:type="spell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money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exclusively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in terms of the function of medium of exchange. Many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debates are strikingly similar in their confusion to those that arose with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acceleration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of the transition from metal to paper during the 19th century.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However, strong doubts about the revival of these 19th century hopes should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not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lead us to overlook the consequences of any possible small-scale erosion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legal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tender. Monetary fragmentation into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localised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media of exchange networks is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made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easier by CIT. However, these would most certainly not be neutral or as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benign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as is generally assumed; rather, they are more likely to increase inequalities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 kind outlined above. Furthermore, even the development of the extensive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electronic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transmission of money in the established payments system would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not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be without similar consequences. Obviously, to use electronically stored and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transmitted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money one must have the appropriate hard- and software and be part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 network. If, as seems to be the case, these systems prove to be more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costefficient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>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gap between the privileged global elite and the excluded monetary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circuits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will widen further. Moreover, governments wishing to strengthen monetary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networks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for those excluded from the mainstream will face strong opposition from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banking system – as occurred in the 1930s. Established banks are reluctant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both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participate in such schemes and to permit such potential competition. For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example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, the British New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Labour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Government has had to dilute its proposal to set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up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a “universal bank” and electronic </w:t>
      </w:r>
      <w:proofErr w:type="spellStart"/>
      <w:r w:rsidRPr="0058017B">
        <w:rPr>
          <w:rFonts w:ascii="Novarese-Medium" w:hAnsi="Novarese-Medium" w:cs="Novarese-Medium"/>
          <w:sz w:val="20"/>
          <w:szCs w:val="20"/>
          <w:lang w:val="en-US"/>
        </w:rPr>
        <w:t>giro</w:t>
      </w:r>
      <w:proofErr w:type="spell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network for low-income groups (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Financial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Times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, 2 May 2001).</w:t>
      </w:r>
      <w:proofErr w:type="gramEnd"/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Circuits of economic exchange obviously have been able to create their own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media</w:t>
      </w:r>
      <w:proofErr w:type="gramEnd"/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 of exchange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that are based, to some extent, on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interpersonal trust and confidence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But if the base for the confidence has no foundation beyond the economic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exchanges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themselves, then the media of exchange will remain what anthropologists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refer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to as “limited purpose money”. The Internet is seen by some as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means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for a limitless extension of such networks (Hart, 2000). The creation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extensive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monetary spaces requires social and political relations that necessarily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exist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independently of any networks of exchange transactions. The extension of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monetary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relations acro</w:t>
      </w:r>
      <w:bookmarkStart w:id="0" w:name="_GoBack"/>
      <w:bookmarkEnd w:id="0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ss time and space requires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impersonal trust and legitimacy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Historically, this has been the work of states. However, it must not be forgotten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that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>, before the money of the realm came to be the trusted and beloved symbol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national sovereignty, states were compelled to maim and execute those who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8017B">
        <w:rPr>
          <w:rFonts w:ascii="Novarese-Medium" w:hAnsi="Novarese-Medium" w:cs="Novarese-Medium"/>
          <w:sz w:val="20"/>
          <w:szCs w:val="20"/>
          <w:lang w:val="en-US"/>
        </w:rPr>
        <w:t>would</w:t>
      </w:r>
      <w:proofErr w:type="gramEnd"/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 not use it. Monetary space is circumscribed by the authoritative money of</w:t>
      </w:r>
      <w:r>
        <w:rPr>
          <w:rFonts w:ascii="Novarese-Medium" w:hAnsi="Novarese-Medium" w:cs="Novarese-Medium"/>
          <w:sz w:val="20"/>
          <w:szCs w:val="20"/>
          <w:lang w:val="en-US"/>
        </w:rPr>
        <w:t xml:space="preserve">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account that defines the abstract value that constitutes the legal means of payment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for the unilateral settlement of debt. There are compelling theoretical,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lastRenderedPageBreak/>
        <w:t>empirical and historical grounds for rejecting both the Hayekian conjectures on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the advent of truly competitive money and also the Walrasian “end of money” scenario.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The romantic communitarian and socialist vision of the expression of the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peoples’ “real” wealth in their own money is equally flawed (Hart, 2000, p. 311).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Narrowly economic relations between people cannot form the basis for monetary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space that enables the extension of these relations across time and space.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Although the Internet extends the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technical capacity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to expand the economic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 xml:space="preserve">exchanges to an almost infinite extent, it cannot provide the </w:t>
      </w:r>
      <w:r w:rsidRPr="0058017B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monetary space </w:t>
      </w:r>
      <w:r w:rsidRPr="0058017B">
        <w:rPr>
          <w:rFonts w:ascii="Novarese-Medium" w:hAnsi="Novarese-Medium" w:cs="Novarese-Medium"/>
          <w:sz w:val="20"/>
          <w:szCs w:val="20"/>
          <w:lang w:val="en-US"/>
        </w:rPr>
        <w:t>that</w:t>
      </w:r>
    </w:p>
    <w:p w:rsidR="0058017B" w:rsidRPr="0058017B" w:rsidRDefault="0058017B" w:rsidP="0058017B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8017B">
        <w:rPr>
          <w:rFonts w:ascii="Novarese-Medium" w:hAnsi="Novarese-Medium" w:cs="Novarese-Medium"/>
          <w:sz w:val="20"/>
          <w:szCs w:val="20"/>
          <w:lang w:val="en-US"/>
        </w:rPr>
        <w:t>would enable this to happen. The world cannot be “run on Windows” (Hawthorn,</w:t>
      </w:r>
    </w:p>
    <w:p w:rsidR="0058017B" w:rsidRPr="0058017B" w:rsidRDefault="0058017B" w:rsidP="0058017B">
      <w:pPr>
        <w:rPr>
          <w:lang w:val="en-US"/>
        </w:rPr>
      </w:pPr>
      <w:r>
        <w:rPr>
          <w:rFonts w:ascii="Novarese-Medium" w:hAnsi="Novarese-Medium" w:cs="Novarese-Medium"/>
          <w:sz w:val="20"/>
          <w:szCs w:val="20"/>
        </w:rPr>
        <w:t>2000).</w:t>
      </w:r>
    </w:p>
    <w:sectPr w:rsidR="0058017B" w:rsidRPr="0058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varese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varese-Medium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varese-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varese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7B"/>
    <w:rsid w:val="001B577B"/>
    <w:rsid w:val="0058017B"/>
    <w:rsid w:val="0078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7776</Words>
  <Characters>44326</Characters>
  <Application>Microsoft Office Word</Application>
  <DocSecurity>0</DocSecurity>
  <Lines>369</Lines>
  <Paragraphs>103</Paragraphs>
  <ScaleCrop>false</ScaleCrop>
  <Company/>
  <LinksUpToDate>false</LinksUpToDate>
  <CharactersWithSpaces>51999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Raigul</dc:creator>
  <cp:keywords/>
  <dc:description/>
  <cp:lastModifiedBy>Raigul</cp:lastModifiedBy>
  <cp:revision>2</cp:revision>
  <dcterms:created xsi:type="dcterms:W3CDTF">2022-10-09T19:15:00Z</dcterms:created>
  <dcterms:modified xsi:type="dcterms:W3CDTF">2022-10-09T19:18:00Z</dcterms:modified>
</cp:coreProperties>
</file>